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bookmarkStart w:id="0" w:name="_GoBack"/>
      <w:r w:rsidRPr="00B1389A">
        <w:rPr>
          <w:rFonts w:ascii="Times New Roman" w:eastAsia="Times New Roman" w:hAnsi="Times New Roman" w:cs="Times New Roman"/>
          <w:b/>
          <w:color w:val="222222"/>
          <w:sz w:val="28"/>
          <w:szCs w:val="28"/>
        </w:rPr>
        <w:t>QUY ĐỊNH</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VỀ GIÁ CÁC LOẠI ĐẤT TRÊN ĐỊA BÀN THÀNH PHỐ HỒ CHÍ MINH</w:t>
      </w:r>
      <w:r w:rsidRPr="00B1389A">
        <w:rPr>
          <w:rFonts w:ascii="Times New Roman" w:eastAsia="Times New Roman" w:hAnsi="Times New Roman" w:cs="Times New Roman"/>
          <w:b/>
          <w:color w:val="222222"/>
          <w:sz w:val="28"/>
          <w:szCs w:val="28"/>
        </w:rPr>
        <w:br/>
      </w:r>
      <w:r w:rsidRPr="00B1389A">
        <w:rPr>
          <w:rFonts w:ascii="Times New Roman" w:eastAsia="Times New Roman" w:hAnsi="Times New Roman" w:cs="Times New Roman"/>
          <w:i/>
          <w:color w:val="222222"/>
          <w:sz w:val="28"/>
          <w:szCs w:val="28"/>
        </w:rPr>
        <w:t>(Ban hành kèm theo Quyết định số 61/2012/QĐ-UBND ngày 22 tháng 12 năm 2012 của Ủy ban nhân dân thành phố)</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Chương I</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PHÂN LOẠI ĐẤT VÀ PHẠM VI ÁP DỤNG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Điều 1.</w:t>
      </w:r>
      <w:proofErr w:type="gramEnd"/>
      <w:r w:rsidRPr="00B1389A">
        <w:rPr>
          <w:rFonts w:ascii="Times New Roman" w:eastAsia="Times New Roman" w:hAnsi="Times New Roman" w:cs="Times New Roman"/>
          <w:color w:val="222222"/>
          <w:sz w:val="28"/>
          <w:szCs w:val="28"/>
        </w:rPr>
        <w:t xml:space="preserve"> Phân loại đất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Căn cứ mục đích sử dụng, đất đai được phân loại thành ba (03) nhóm theo quy định tại Điều 13 Luật Đất đai năm 2003 và Điều 6 Nghị định số 181/2004/NĐ-CP ngày 29 ngày 10 tháng 2004 của Chính phủ về thi hành Luật Đất đai.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Điều 2.</w:t>
      </w:r>
      <w:proofErr w:type="gramEnd"/>
      <w:r w:rsidRPr="00B1389A">
        <w:rPr>
          <w:rFonts w:ascii="Times New Roman" w:eastAsia="Times New Roman" w:hAnsi="Times New Roman" w:cs="Times New Roman"/>
          <w:color w:val="222222"/>
          <w:sz w:val="28"/>
          <w:szCs w:val="28"/>
        </w:rPr>
        <w:t xml:space="preserve">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áp dụng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 Giá đất tại Quy định này được sử dụng làm căn cứ, để:</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a) Tính thuế sử dụng đất </w:t>
      </w:r>
      <w:proofErr w:type="gramStart"/>
      <w:r w:rsidRPr="00B1389A">
        <w:rPr>
          <w:rFonts w:ascii="Times New Roman" w:eastAsia="Times New Roman" w:hAnsi="Times New Roman" w:cs="Times New Roman"/>
          <w:color w:val="222222"/>
          <w:sz w:val="28"/>
          <w:szCs w:val="28"/>
        </w:rPr>
        <w:t>theo</w:t>
      </w:r>
      <w:proofErr w:type="gramEnd"/>
      <w:r w:rsidRPr="00B1389A">
        <w:rPr>
          <w:rFonts w:ascii="Times New Roman" w:eastAsia="Times New Roman" w:hAnsi="Times New Roman" w:cs="Times New Roman"/>
          <w:color w:val="222222"/>
          <w:sz w:val="28"/>
          <w:szCs w:val="28"/>
        </w:rPr>
        <w:t xml:space="preserve"> quy định của pháp luật;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b) Tính tiền sử dụng đất và tiền thuê đất khi giao đất, cho thuê đất không thông qua đấu giá quyền sử dụng đất hoặc đấu thầu dự án có sử dụng đất cho các trường hợp quy định tại Điều 34 và Điều 35 của Luật Đất đai năm 2003.</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c) Tính tiền sử dụng đất khi công nhận quyền sử dụng đất hoặc chuyển mục đích sử dụng đất trong hạn mức sử dụng đất ở của hộ gia đình, cá nhân theo quy định tại Khoản 1 và Khoản 4 Điều 2 Nghị định số 120/2010/NĐ-CP ngày 30 tháng 12 năm 2010 của Chính phủ.</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d) Tính giá trị quyền sử dụng đất khi giao đất không </w:t>
      </w:r>
      <w:proofErr w:type="gramStart"/>
      <w:r w:rsidRPr="00B1389A">
        <w:rPr>
          <w:rFonts w:ascii="Times New Roman" w:eastAsia="Times New Roman" w:hAnsi="Times New Roman" w:cs="Times New Roman"/>
          <w:color w:val="222222"/>
          <w:sz w:val="28"/>
          <w:szCs w:val="28"/>
        </w:rPr>
        <w:t>thu</w:t>
      </w:r>
      <w:proofErr w:type="gramEnd"/>
      <w:r w:rsidRPr="00B1389A">
        <w:rPr>
          <w:rFonts w:ascii="Times New Roman" w:eastAsia="Times New Roman" w:hAnsi="Times New Roman" w:cs="Times New Roman"/>
          <w:color w:val="222222"/>
          <w:sz w:val="28"/>
          <w:szCs w:val="28"/>
        </w:rPr>
        <w:t xml:space="preserve"> tiền sử dụng đất cho các tổ chức, cá nhân trong các trường hợp quy định tại Điều 33 của Luật Đất đai năm 2003;</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đ) Tính giá trị quyền sử dụng đất để </w:t>
      </w:r>
      <w:proofErr w:type="gramStart"/>
      <w:r w:rsidRPr="00B1389A">
        <w:rPr>
          <w:rFonts w:ascii="Times New Roman" w:eastAsia="Times New Roman" w:hAnsi="Times New Roman" w:cs="Times New Roman"/>
          <w:color w:val="222222"/>
          <w:sz w:val="28"/>
          <w:szCs w:val="28"/>
        </w:rPr>
        <w:t>thu</w:t>
      </w:r>
      <w:proofErr w:type="gramEnd"/>
      <w:r w:rsidRPr="00B1389A">
        <w:rPr>
          <w:rFonts w:ascii="Times New Roman" w:eastAsia="Times New Roman" w:hAnsi="Times New Roman" w:cs="Times New Roman"/>
          <w:color w:val="222222"/>
          <w:sz w:val="28"/>
          <w:szCs w:val="28"/>
        </w:rPr>
        <w:t xml:space="preserve"> lệ phí trước bạ theo quy định của pháp luật;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e) Tính giá trị quyền sử dụng đất để bồi thường khi Nhà nước thu hồi đất sử dụng vào mục đích quốc phòng, an ninh, lợi ích quốc gia, lợi ích công cộng và phát triển kinh tế quy định tại Điều 39, Điều 40 của Luật Đất đai năm 2003;</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lastRenderedPageBreak/>
        <w:t xml:space="preserve">g) Tính tiền bồi thường đối với người có hành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vi phạm pháp luật về đất đai mà gây thiệt hại cho Nhà nước theo quy định của pháp luật.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2. Đối với trường hợp Nhà nước giao đất có thu tiền sử dụng đất không thông qua hình thức đấu giá quyền sử dụng đất hoặc đấu thầu dự án có sử dụng đất, cho thuê đất; phê duyệt phương án bồi thường, hỗ trợ, tái định cư khi Nhà nước thu hồi đất; và trường hợp doanh nghiệp nhà nước tiến hành cổ phần hóa lựa chọn hình thức giao đất: nếu tại thời điểm giao đất, cho thuê đất, thời điểm có quyết định thu hồi đất, thời điểm tính giá đất vào giá trị doanh nghiệp cổ phần hóa mà giá đất theo Quy định này chưa sát với giá chuyển nhượng quyền sử dụng đất thực tế trên thị trường trong điều kiện bình thường thì căn cứ vào giá chuyển nhượng quyền sử dụng đất thực tế trên thị trường để xác định lại giá đất cụ thể cho phù hợp.</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3. Trường hợp Nhà nước giao đất, cho thuê đất </w:t>
      </w:r>
      <w:proofErr w:type="gramStart"/>
      <w:r w:rsidRPr="00B1389A">
        <w:rPr>
          <w:rFonts w:ascii="Times New Roman" w:eastAsia="Times New Roman" w:hAnsi="Times New Roman" w:cs="Times New Roman"/>
          <w:color w:val="222222"/>
          <w:sz w:val="28"/>
          <w:szCs w:val="28"/>
        </w:rPr>
        <w:t>theo</w:t>
      </w:r>
      <w:proofErr w:type="gramEnd"/>
      <w:r w:rsidRPr="00B1389A">
        <w:rPr>
          <w:rFonts w:ascii="Times New Roman" w:eastAsia="Times New Roman" w:hAnsi="Times New Roman" w:cs="Times New Roman"/>
          <w:color w:val="222222"/>
          <w:sz w:val="28"/>
          <w:szCs w:val="28"/>
        </w:rPr>
        <w:t xml:space="preserve"> hình thức đấu giá quyền sử dụng đất, hoặc đấu thầu dự án có sử dụng đất thì mức giá khởi điểm quyền sử dụng đất không được thấp hơn mức giá đất theo Quy định này.</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4. Quy định này không áp dụng đối với trường hợp người có quyền sử dụng đất thỏa thuận về giá đất khi thực hiện các quyền chuyển nhượng, cho thuê, cho thuê lại quyền sử dụng đất, góp vốn bằng quyền sử dụng đất </w:t>
      </w:r>
      <w:proofErr w:type="gramStart"/>
      <w:r w:rsidRPr="00B1389A">
        <w:rPr>
          <w:rFonts w:ascii="Times New Roman" w:eastAsia="Times New Roman" w:hAnsi="Times New Roman" w:cs="Times New Roman"/>
          <w:color w:val="222222"/>
          <w:sz w:val="28"/>
          <w:szCs w:val="28"/>
        </w:rPr>
        <w:t>theo</w:t>
      </w:r>
      <w:proofErr w:type="gramEnd"/>
      <w:r w:rsidRPr="00B1389A">
        <w:rPr>
          <w:rFonts w:ascii="Times New Roman" w:eastAsia="Times New Roman" w:hAnsi="Times New Roman" w:cs="Times New Roman"/>
          <w:color w:val="222222"/>
          <w:sz w:val="28"/>
          <w:szCs w:val="28"/>
        </w:rPr>
        <w:t xml:space="preserve"> quy định của pháp luật.</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Chương II</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BẢNG GIÁ CÁC LOẠI ĐẤT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Điều 3.</w:t>
      </w:r>
      <w:proofErr w:type="gramEnd"/>
      <w:r w:rsidRPr="00B1389A">
        <w:rPr>
          <w:rFonts w:ascii="Times New Roman" w:eastAsia="Times New Roman" w:hAnsi="Times New Roman" w:cs="Times New Roman"/>
          <w:color w:val="222222"/>
          <w:sz w:val="28"/>
          <w:szCs w:val="28"/>
        </w:rPr>
        <w:t xml:space="preserve"> Giá nhóm đất nông nghiệp</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1.</w:t>
      </w:r>
      <w:r w:rsidRPr="00B1389A">
        <w:rPr>
          <w:rFonts w:ascii="Times New Roman" w:eastAsia="Times New Roman" w:hAnsi="Times New Roman" w:cs="Times New Roman"/>
          <w:color w:val="222222"/>
          <w:sz w:val="28"/>
          <w:szCs w:val="28"/>
        </w:rPr>
        <w:t> Phân khu vực và vị trí đất:</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a) Khu vực: đất nông nghiệp được phân thành ba (03) khu vực:</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Khu vực I: thuộc địa bàn các quận;</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Khu vực II: thuộc địa bàn các huyện Hóc Môn, huyện Bình Chánh, huyện Nhà Bè, huyện Củ Chi;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Khu vực III: địa bàn huyện Cần Giờ.</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b) Vị trí:</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lastRenderedPageBreak/>
        <w:t>- Đối với đất trồng lúa nước, đất trồng cây hàng năm, trồng cây lâu năm, đất rừng sản xuất, đất nuôi trồng thủy sản: Chia làm ba (03) vị trí:</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 Vị trí 1: tính từ lề đường (đường có tên trong bảng giá đất ở) trong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200m;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 Vị trí 2: trong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trên 200m đến 400m;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3: các vị trí còn lại.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Đối với đất làm muối: chia làm ba (03) vị trí:</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 Vị trí 1: có khoảng cách đến đường giao thông thủy, đường bộ hoặc đến kho muối tập trung tại khu vực sản xuất trong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200m;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 Vị trí 2: có khoảng cách đến đường giao thông thủy, đường bộ hoặc đến kho muối tập trung tại khu vực sản xuất trong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trên 200m đến 400m;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3: các vị trí còn lại.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2.</w:t>
      </w:r>
      <w:r w:rsidRPr="00B1389A">
        <w:rPr>
          <w:rFonts w:ascii="Times New Roman" w:eastAsia="Times New Roman" w:hAnsi="Times New Roman" w:cs="Times New Roman"/>
          <w:color w:val="222222"/>
          <w:sz w:val="28"/>
          <w:szCs w:val="28"/>
        </w:rPr>
        <w:t> Bảng giá các loại đất nông nghiệp:</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a) Bảng giá đất trồng lúa nước, đất trồng cây hàng năm khác (Bảng 1).</w:t>
      </w:r>
    </w:p>
    <w:p w:rsidR="00B1389A" w:rsidRPr="00B1389A" w:rsidRDefault="00B1389A" w:rsidP="00B1389A">
      <w:pPr>
        <w:spacing w:before="100" w:beforeAutospacing="1" w:after="100" w:afterAutospacing="1" w:line="240" w:lineRule="auto"/>
        <w:ind w:right="999"/>
        <w:jc w:val="right"/>
        <w:rPr>
          <w:rFonts w:ascii="Times New Roman" w:eastAsia="Times New Roman" w:hAnsi="Times New Roman" w:cs="Times New Roman"/>
          <w:color w:val="222222"/>
          <w:sz w:val="28"/>
          <w:szCs w:val="28"/>
        </w:rPr>
      </w:pPr>
      <w:r w:rsidRPr="00B1389A">
        <w:rPr>
          <w:rFonts w:ascii="Times New Roman" w:eastAsia="Times New Roman" w:hAnsi="Times New Roman" w:cs="Times New Roman"/>
          <w:i/>
          <w:iCs/>
          <w:color w:val="222222"/>
          <w:sz w:val="28"/>
          <w:szCs w:val="28"/>
        </w:rPr>
        <w:t>Đơn vị tính: đồng/m</w:t>
      </w:r>
      <w:r w:rsidRPr="00B1389A">
        <w:rPr>
          <w:rFonts w:ascii="Times New Roman" w:eastAsia="Times New Roman" w:hAnsi="Times New Roman" w:cs="Times New Roman"/>
          <w:i/>
          <w:iCs/>
          <w:color w:val="222222"/>
          <w:sz w:val="28"/>
          <w:szCs w:val="28"/>
          <w:vertAlign w:val="superscript"/>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250"/>
        <w:gridCol w:w="1875"/>
        <w:gridCol w:w="2055"/>
      </w:tblGrid>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III</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1</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162.000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130.000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97.000</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2</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130.000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104.000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78.000</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3</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97.000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78.000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58.000</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b) Bảng giá đất trồng cây lâu năm (Bảng 2)</w:t>
      </w:r>
    </w:p>
    <w:p w:rsidR="00B1389A" w:rsidRPr="00B1389A" w:rsidRDefault="00B1389A" w:rsidP="00B1389A">
      <w:pPr>
        <w:spacing w:before="100" w:beforeAutospacing="1" w:after="100" w:afterAutospacing="1" w:line="240" w:lineRule="auto"/>
        <w:ind w:right="999"/>
        <w:jc w:val="right"/>
        <w:rPr>
          <w:rFonts w:ascii="Times New Roman" w:eastAsia="Times New Roman" w:hAnsi="Times New Roman" w:cs="Times New Roman"/>
          <w:color w:val="222222"/>
          <w:sz w:val="28"/>
          <w:szCs w:val="28"/>
        </w:rPr>
      </w:pPr>
      <w:r w:rsidRPr="00B1389A">
        <w:rPr>
          <w:rFonts w:ascii="Times New Roman" w:eastAsia="Times New Roman" w:hAnsi="Times New Roman" w:cs="Times New Roman"/>
          <w:i/>
          <w:iCs/>
          <w:color w:val="222222"/>
          <w:sz w:val="28"/>
          <w:szCs w:val="28"/>
        </w:rPr>
        <w:t>Đơn vị tính: đồng/m</w:t>
      </w:r>
      <w:r w:rsidRPr="00B1389A">
        <w:rPr>
          <w:rFonts w:ascii="Times New Roman" w:eastAsia="Times New Roman" w:hAnsi="Times New Roman" w:cs="Times New Roman"/>
          <w:i/>
          <w:iCs/>
          <w:color w:val="222222"/>
          <w:sz w:val="28"/>
          <w:szCs w:val="28"/>
          <w:vertAlign w:val="superscript"/>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250"/>
        <w:gridCol w:w="1875"/>
        <w:gridCol w:w="2055"/>
      </w:tblGrid>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III</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1</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190.000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152.000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114.000</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2</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152.000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121.000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100.000</w:t>
            </w:r>
          </w:p>
        </w:tc>
      </w:tr>
      <w:tr w:rsidR="00B1389A" w:rsidRPr="00B1389A" w:rsidTr="00B1389A">
        <w:trPr>
          <w:trHeight w:val="375"/>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3</w:t>
            </w:r>
          </w:p>
        </w:tc>
        <w:tc>
          <w:tcPr>
            <w:tcW w:w="225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114.000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100.000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68.000</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lastRenderedPageBreak/>
        <w:t>c) Bảng giá đất rừng sản xuất (Bảng 3)</w:t>
      </w:r>
    </w:p>
    <w:p w:rsidR="00B1389A" w:rsidRPr="00B1389A" w:rsidRDefault="00B1389A" w:rsidP="00B1389A">
      <w:pPr>
        <w:spacing w:before="100" w:beforeAutospacing="1" w:after="100" w:afterAutospacing="1" w:line="240" w:lineRule="auto"/>
        <w:ind w:right="1959"/>
        <w:jc w:val="right"/>
        <w:rPr>
          <w:rFonts w:ascii="Times New Roman" w:eastAsia="Times New Roman" w:hAnsi="Times New Roman" w:cs="Times New Roman"/>
          <w:color w:val="222222"/>
          <w:sz w:val="28"/>
          <w:szCs w:val="28"/>
        </w:rPr>
      </w:pPr>
      <w:r w:rsidRPr="00B1389A">
        <w:rPr>
          <w:rFonts w:ascii="Times New Roman" w:eastAsia="Times New Roman" w:hAnsi="Times New Roman" w:cs="Times New Roman"/>
          <w:i/>
          <w:iCs/>
          <w:color w:val="222222"/>
          <w:sz w:val="28"/>
          <w:szCs w:val="28"/>
        </w:rPr>
        <w:t>Đơn vị tính: đồng/m</w:t>
      </w:r>
      <w:r w:rsidRPr="00B1389A">
        <w:rPr>
          <w:rFonts w:ascii="Times New Roman" w:eastAsia="Times New Roman" w:hAnsi="Times New Roman" w:cs="Times New Roman"/>
          <w:i/>
          <w:iCs/>
          <w:color w:val="222222"/>
          <w:sz w:val="28"/>
          <w:szCs w:val="28"/>
          <w:vertAlign w:val="superscript"/>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2985"/>
      </w:tblGrid>
      <w:tr w:rsidR="00B1389A" w:rsidRPr="00B1389A" w:rsidTr="00B1389A">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w:t>
            </w:r>
          </w:p>
        </w:tc>
        <w:tc>
          <w:tcPr>
            <w:tcW w:w="298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Đơn giá</w:t>
            </w:r>
          </w:p>
        </w:tc>
      </w:tr>
      <w:tr w:rsidR="00B1389A" w:rsidRPr="00B1389A" w:rsidTr="00B1389A">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1</w:t>
            </w:r>
          </w:p>
        </w:tc>
        <w:tc>
          <w:tcPr>
            <w:tcW w:w="298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72.000</w:t>
            </w:r>
          </w:p>
        </w:tc>
      </w:tr>
      <w:tr w:rsidR="00B1389A" w:rsidRPr="00B1389A" w:rsidTr="00B1389A">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2</w:t>
            </w:r>
          </w:p>
        </w:tc>
        <w:tc>
          <w:tcPr>
            <w:tcW w:w="298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57.600</w:t>
            </w:r>
          </w:p>
        </w:tc>
      </w:tr>
      <w:tr w:rsidR="00B1389A" w:rsidRPr="00B1389A" w:rsidTr="00B1389A">
        <w:trPr>
          <w:trHeight w:val="375"/>
          <w:tblCellSpacing w:w="0" w:type="dxa"/>
        </w:trPr>
        <w:tc>
          <w:tcPr>
            <w:tcW w:w="280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3</w:t>
            </w:r>
          </w:p>
        </w:tc>
        <w:tc>
          <w:tcPr>
            <w:tcW w:w="298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43.200</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 Đối với đất rừng phòng hộ, rừng đặc dụng tính bằng 80% giá đất rừng sản xuất.</w:t>
      </w:r>
      <w:proofErr w:type="gramEnd"/>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d) Bảng giá đất nuôi trồng thủy sản (Bảng 4)</w:t>
      </w:r>
    </w:p>
    <w:p w:rsidR="00B1389A" w:rsidRPr="00B1389A" w:rsidRDefault="00B1389A" w:rsidP="00B1389A">
      <w:pPr>
        <w:spacing w:before="100" w:beforeAutospacing="1" w:after="100" w:afterAutospacing="1" w:line="240" w:lineRule="auto"/>
        <w:ind w:right="879"/>
        <w:jc w:val="right"/>
        <w:rPr>
          <w:rFonts w:ascii="Times New Roman" w:eastAsia="Times New Roman" w:hAnsi="Times New Roman" w:cs="Times New Roman"/>
          <w:color w:val="222222"/>
          <w:sz w:val="28"/>
          <w:szCs w:val="28"/>
        </w:rPr>
      </w:pPr>
      <w:r w:rsidRPr="00B1389A">
        <w:rPr>
          <w:rFonts w:ascii="Times New Roman" w:eastAsia="Times New Roman" w:hAnsi="Times New Roman" w:cs="Times New Roman"/>
          <w:i/>
          <w:iCs/>
          <w:color w:val="222222"/>
          <w:sz w:val="28"/>
          <w:szCs w:val="28"/>
        </w:rPr>
        <w:t>Đơn vị tính: đồng/m</w:t>
      </w:r>
      <w:r w:rsidRPr="00B1389A">
        <w:rPr>
          <w:rFonts w:ascii="Times New Roman" w:eastAsia="Times New Roman" w:hAnsi="Times New Roman" w:cs="Times New Roman"/>
          <w:i/>
          <w:iCs/>
          <w:color w:val="222222"/>
          <w:sz w:val="28"/>
          <w:szCs w:val="28"/>
          <w:vertAlign w:val="superscript"/>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2265"/>
        <w:gridCol w:w="1875"/>
        <w:gridCol w:w="2055"/>
      </w:tblGrid>
      <w:tr w:rsidR="00B1389A" w:rsidRPr="00B1389A" w:rsidTr="00B1389A">
        <w:trPr>
          <w:trHeight w:val="390"/>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w:t>
            </w:r>
          </w:p>
        </w:tc>
        <w:tc>
          <w:tcPr>
            <w:tcW w:w="22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Khu vực III</w:t>
            </w:r>
          </w:p>
        </w:tc>
      </w:tr>
      <w:tr w:rsidR="00B1389A" w:rsidRPr="00B1389A" w:rsidTr="00B1389A">
        <w:trPr>
          <w:trHeight w:val="375"/>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1</w:t>
            </w:r>
          </w:p>
        </w:tc>
        <w:tc>
          <w:tcPr>
            <w:tcW w:w="22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162.000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130.000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97.000</w:t>
            </w:r>
          </w:p>
        </w:tc>
      </w:tr>
      <w:tr w:rsidR="00B1389A" w:rsidRPr="00B1389A" w:rsidTr="00B1389A">
        <w:trPr>
          <w:trHeight w:val="375"/>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2</w:t>
            </w:r>
          </w:p>
        </w:tc>
        <w:tc>
          <w:tcPr>
            <w:tcW w:w="22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130.000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104.000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78.000</w:t>
            </w:r>
          </w:p>
        </w:tc>
      </w:tr>
      <w:tr w:rsidR="00B1389A" w:rsidRPr="00B1389A" w:rsidTr="00B1389A">
        <w:trPr>
          <w:trHeight w:val="375"/>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3</w:t>
            </w:r>
          </w:p>
        </w:tc>
        <w:tc>
          <w:tcPr>
            <w:tcW w:w="22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97.000</w:t>
            </w:r>
          </w:p>
        </w:tc>
        <w:tc>
          <w:tcPr>
            <w:tcW w:w="187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78.000</w:t>
            </w:r>
          </w:p>
        </w:tc>
        <w:tc>
          <w:tcPr>
            <w:tcW w:w="205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58.000</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đ) Bảng giá đất làm muối (Bảng 5)</w:t>
      </w:r>
    </w:p>
    <w:p w:rsidR="00B1389A" w:rsidRPr="00B1389A" w:rsidRDefault="00B1389A" w:rsidP="00B1389A">
      <w:pPr>
        <w:spacing w:before="100" w:beforeAutospacing="1" w:after="100" w:afterAutospacing="1" w:line="240" w:lineRule="auto"/>
        <w:ind w:right="2199"/>
        <w:jc w:val="right"/>
        <w:rPr>
          <w:rFonts w:ascii="Times New Roman" w:eastAsia="Times New Roman" w:hAnsi="Times New Roman" w:cs="Times New Roman"/>
          <w:color w:val="222222"/>
          <w:sz w:val="28"/>
          <w:szCs w:val="28"/>
        </w:rPr>
      </w:pPr>
      <w:r w:rsidRPr="00B1389A">
        <w:rPr>
          <w:rFonts w:ascii="Times New Roman" w:eastAsia="Times New Roman" w:hAnsi="Times New Roman" w:cs="Times New Roman"/>
          <w:i/>
          <w:iCs/>
          <w:color w:val="222222"/>
          <w:sz w:val="28"/>
          <w:szCs w:val="28"/>
        </w:rPr>
        <w:t>Đơn vị tính: đồng/m</w:t>
      </w:r>
      <w:r w:rsidRPr="00B1389A">
        <w:rPr>
          <w:rFonts w:ascii="Times New Roman" w:eastAsia="Times New Roman" w:hAnsi="Times New Roman" w:cs="Times New Roman"/>
          <w:i/>
          <w:iCs/>
          <w:color w:val="222222"/>
          <w:sz w:val="28"/>
          <w:szCs w:val="28"/>
          <w:vertAlign w:val="superscript"/>
        </w:rPr>
        <w:t>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2865"/>
      </w:tblGrid>
      <w:tr w:rsidR="00B1389A" w:rsidRPr="00B1389A" w:rsidTr="00B1389A">
        <w:trPr>
          <w:trHeight w:val="375"/>
          <w:tblCellSpacing w:w="0" w:type="dxa"/>
        </w:trPr>
        <w:tc>
          <w:tcPr>
            <w:tcW w:w="25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w:t>
            </w:r>
          </w:p>
        </w:tc>
        <w:tc>
          <w:tcPr>
            <w:tcW w:w="28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Đơn giá</w:t>
            </w:r>
          </w:p>
        </w:tc>
      </w:tr>
      <w:tr w:rsidR="00B1389A" w:rsidRPr="00B1389A" w:rsidTr="00B1389A">
        <w:trPr>
          <w:trHeight w:val="375"/>
          <w:tblCellSpacing w:w="0" w:type="dxa"/>
        </w:trPr>
        <w:tc>
          <w:tcPr>
            <w:tcW w:w="25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1</w:t>
            </w:r>
          </w:p>
        </w:tc>
        <w:tc>
          <w:tcPr>
            <w:tcW w:w="28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74.400</w:t>
            </w:r>
          </w:p>
        </w:tc>
      </w:tr>
      <w:tr w:rsidR="00B1389A" w:rsidRPr="00B1389A" w:rsidTr="00B1389A">
        <w:trPr>
          <w:trHeight w:val="375"/>
          <w:tblCellSpacing w:w="0" w:type="dxa"/>
        </w:trPr>
        <w:tc>
          <w:tcPr>
            <w:tcW w:w="25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2</w:t>
            </w:r>
          </w:p>
        </w:tc>
        <w:tc>
          <w:tcPr>
            <w:tcW w:w="28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59.520</w:t>
            </w:r>
          </w:p>
        </w:tc>
      </w:tr>
      <w:tr w:rsidR="00B1389A" w:rsidRPr="00B1389A" w:rsidTr="00B1389A">
        <w:trPr>
          <w:trHeight w:val="375"/>
          <w:tblCellSpacing w:w="0" w:type="dxa"/>
        </w:trPr>
        <w:tc>
          <w:tcPr>
            <w:tcW w:w="25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Vị trí 3</w:t>
            </w:r>
          </w:p>
        </w:tc>
        <w:tc>
          <w:tcPr>
            <w:tcW w:w="286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44.640</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e) Giá đất trong các trường hợp sau được quy định bằng mức giá đất trồng cây lâu năm vị trí 1 cùng khu vực:</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Đất vườn, ao trong cùng thửa đất có nhà ở nhưng không được xác định là đất ở;</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Đất nông nghiệp nằm trong phạm vi khu dân cư thị trấn, khu dân cư nông thôn đã được xác định ranh giới theo quy hoạch được cơ quan nhà nước có thẩm quyền xét duyệt; hoặc chưa có quy hoạch được xét duyệt thì xác định theo ranh giới của thửa đất có nhà ở ngoài cùng của khu dân cư;</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lastRenderedPageBreak/>
        <w:t xml:space="preserve">g) Giá đất nông nghiệp nằm trong phạm </w:t>
      </w:r>
      <w:proofErr w:type="gramStart"/>
      <w:r w:rsidRPr="00B1389A">
        <w:rPr>
          <w:rFonts w:ascii="Times New Roman" w:eastAsia="Times New Roman" w:hAnsi="Times New Roman" w:cs="Times New Roman"/>
          <w:color w:val="222222"/>
          <w:sz w:val="28"/>
          <w:szCs w:val="28"/>
        </w:rPr>
        <w:t>vi</w:t>
      </w:r>
      <w:proofErr w:type="gramEnd"/>
      <w:r w:rsidRPr="00B1389A">
        <w:rPr>
          <w:rFonts w:ascii="Times New Roman" w:eastAsia="Times New Roman" w:hAnsi="Times New Roman" w:cs="Times New Roman"/>
          <w:color w:val="222222"/>
          <w:sz w:val="28"/>
          <w:szCs w:val="28"/>
        </w:rPr>
        <w:t xml:space="preserve"> địa giới hành chính phường được tính bằng 2 lần mức giá đất trồng cây lâu năm vị trí 1 khu vực 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Điều 4.</w:t>
      </w:r>
      <w:proofErr w:type="gramEnd"/>
      <w:r w:rsidRPr="00B1389A">
        <w:rPr>
          <w:rFonts w:ascii="Times New Roman" w:eastAsia="Times New Roman" w:hAnsi="Times New Roman" w:cs="Times New Roman"/>
          <w:color w:val="222222"/>
          <w:sz w:val="28"/>
          <w:szCs w:val="28"/>
        </w:rPr>
        <w:t xml:space="preserve"> Giá nhóm đất phi nông nghiệp</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1.</w:t>
      </w:r>
      <w:r w:rsidRPr="00B1389A">
        <w:rPr>
          <w:rFonts w:ascii="Times New Roman" w:eastAsia="Times New Roman" w:hAnsi="Times New Roman" w:cs="Times New Roman"/>
          <w:color w:val="222222"/>
          <w:sz w:val="28"/>
          <w:szCs w:val="28"/>
        </w:rPr>
        <w:t> Bảng giá đất ở tại đô thị và nông thôn:</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a) Vị trí đất ở mặt tiền: (Bảng 6 đính kèm).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b) Vị trí đất trong hẻm: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hẻm: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1: có chiều rộng hẻm lớn hơn 5m được trải nhựa hoặc bê tông, xi măng;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2: có chiều rộng hẻm từ 3m đến 5m được trải nhựa hoặc bê tông xi măng;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3: có chiều rộng hẻm từ 2m đến dưới 3m được trải nhựa hoặc bê tông, xi măng;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Vị trí 4: có chiều rộng hẻm dưới 2m được trải nhựa hoặc bê tông, xi măng.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Phân cấp hẻm: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Hẻm cấp 1: là hẻm có vị trí tiếp giáp với mặt tiền đường;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Hẻm cấp 2.</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Cấp hẻm còn lại.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xml:space="preserve">- Hệ số để tính giá đất </w:t>
      </w:r>
      <w:proofErr w:type="gramStart"/>
      <w:r w:rsidRPr="00B1389A">
        <w:rPr>
          <w:rFonts w:ascii="Times New Roman" w:eastAsia="Times New Roman" w:hAnsi="Times New Roman" w:cs="Times New Roman"/>
          <w:color w:val="222222"/>
          <w:sz w:val="28"/>
          <w:szCs w:val="28"/>
        </w:rPr>
        <w:t>theo</w:t>
      </w:r>
      <w:proofErr w:type="gramEnd"/>
      <w:r w:rsidRPr="00B1389A">
        <w:rPr>
          <w:rFonts w:ascii="Times New Roman" w:eastAsia="Times New Roman" w:hAnsi="Times New Roman" w:cs="Times New Roman"/>
          <w:color w:val="222222"/>
          <w:sz w:val="28"/>
          <w:szCs w:val="28"/>
        </w:rPr>
        <w:t xml:space="preserve"> các vị trí và cấp hẻm so với giá đất mặt tiền đường: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2640"/>
        <w:gridCol w:w="1320"/>
        <w:gridCol w:w="1320"/>
        <w:gridCol w:w="1320"/>
        <w:gridCol w:w="1215"/>
      </w:tblGrid>
      <w:tr w:rsidR="00B1389A" w:rsidRPr="00B1389A" w:rsidTr="00B1389A">
        <w:trPr>
          <w:trHeight w:val="36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STT</w:t>
            </w:r>
          </w:p>
        </w:tc>
        <w:tc>
          <w:tcPr>
            <w:tcW w:w="264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Loại hẻm</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 1</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 2</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 3</w:t>
            </w:r>
          </w:p>
        </w:tc>
        <w:tc>
          <w:tcPr>
            <w:tcW w:w="121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Vị trí 4</w:t>
            </w:r>
          </w:p>
        </w:tc>
      </w:tr>
      <w:tr w:rsidR="00B1389A" w:rsidRPr="00B1389A" w:rsidTr="00B1389A">
        <w:trPr>
          <w:trHeight w:val="36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1</w:t>
            </w:r>
          </w:p>
        </w:tc>
        <w:tc>
          <w:tcPr>
            <w:tcW w:w="264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Hẻm cấp 1</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0,5</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0,4</w:t>
            </w:r>
          </w:p>
        </w:tc>
        <w:tc>
          <w:tcPr>
            <w:tcW w:w="13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0,3</w:t>
            </w:r>
          </w:p>
        </w:tc>
        <w:tc>
          <w:tcPr>
            <w:tcW w:w="1215"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0,2</w:t>
            </w:r>
          </w:p>
        </w:tc>
      </w:tr>
      <w:tr w:rsidR="00B1389A" w:rsidRPr="00B1389A" w:rsidTr="00B1389A">
        <w:trPr>
          <w:trHeight w:val="36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2</w:t>
            </w:r>
          </w:p>
        </w:tc>
        <w:tc>
          <w:tcPr>
            <w:tcW w:w="264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Hẻm cấp 2</w:t>
            </w:r>
          </w:p>
        </w:tc>
        <w:tc>
          <w:tcPr>
            <w:tcW w:w="5175" w:type="dxa"/>
            <w:gridSpan w:val="4"/>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Tính bằng 0,8 lần giá hẻm cấp 1</w:t>
            </w:r>
          </w:p>
        </w:tc>
      </w:tr>
      <w:tr w:rsidR="00B1389A" w:rsidRPr="00B1389A" w:rsidTr="00B1389A">
        <w:trPr>
          <w:trHeight w:val="360"/>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3</w:t>
            </w:r>
          </w:p>
        </w:tc>
        <w:tc>
          <w:tcPr>
            <w:tcW w:w="2640" w:type="dxa"/>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Cấp hẻm còn lại</w:t>
            </w:r>
          </w:p>
        </w:tc>
        <w:tc>
          <w:tcPr>
            <w:tcW w:w="5175" w:type="dxa"/>
            <w:gridSpan w:val="4"/>
            <w:tcBorders>
              <w:top w:val="outset" w:sz="6" w:space="0" w:color="auto"/>
              <w:left w:val="outset" w:sz="6" w:space="0" w:color="auto"/>
              <w:bottom w:val="outset" w:sz="6" w:space="0" w:color="auto"/>
              <w:right w:val="outset" w:sz="6" w:space="0" w:color="auto"/>
            </w:tcBorders>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Tính bằng 0,8 lần giá hẻm cấp 2</w:t>
            </w:r>
          </w:p>
        </w:tc>
      </w:tr>
    </w:tbl>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Nếu là hẻm đất, tính bằng 0</w:t>
      </w:r>
      <w:proofErr w:type="gramStart"/>
      <w:r w:rsidRPr="00B1389A">
        <w:rPr>
          <w:rFonts w:ascii="Times New Roman" w:eastAsia="Times New Roman" w:hAnsi="Times New Roman" w:cs="Times New Roman"/>
          <w:color w:val="222222"/>
          <w:sz w:val="28"/>
          <w:szCs w:val="28"/>
        </w:rPr>
        <w:t>,8</w:t>
      </w:r>
      <w:proofErr w:type="gramEnd"/>
      <w:r w:rsidRPr="00B1389A">
        <w:rPr>
          <w:rFonts w:ascii="Times New Roman" w:eastAsia="Times New Roman" w:hAnsi="Times New Roman" w:cs="Times New Roman"/>
          <w:color w:val="222222"/>
          <w:sz w:val="28"/>
          <w:szCs w:val="28"/>
        </w:rPr>
        <w:t xml:space="preserve"> lần so với mức giá của hẻm trải nhựa hoặc bê tông, xi măng của cùng loại hẻm.</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2.</w:t>
      </w:r>
      <w:r w:rsidRPr="00B1389A">
        <w:rPr>
          <w:rFonts w:ascii="Times New Roman" w:eastAsia="Times New Roman" w:hAnsi="Times New Roman" w:cs="Times New Roman"/>
          <w:color w:val="222222"/>
          <w:sz w:val="28"/>
          <w:szCs w:val="28"/>
        </w:rPr>
        <w:t> Giá đất sản xuất, kinh doanh phi nông nghiệp:</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lastRenderedPageBreak/>
        <w:t>Giá đất sản xuất, kinh doanh phi nông nghiệp tính bằng 60% giá đất ở liền kề.</w:t>
      </w:r>
      <w:proofErr w:type="gramEnd"/>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3.</w:t>
      </w:r>
      <w:r w:rsidRPr="00B1389A">
        <w:rPr>
          <w:rFonts w:ascii="Times New Roman" w:eastAsia="Times New Roman" w:hAnsi="Times New Roman" w:cs="Times New Roman"/>
          <w:color w:val="222222"/>
          <w:sz w:val="28"/>
          <w:szCs w:val="28"/>
        </w:rPr>
        <w:t> Căn cứ mức giá cụ thể đã quy định đối với giá các loại đất liền kề để xác định giá cho các loại đất sau, cụ thể:</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Đối với đất xây dựng trụ sở cơ quan và đất xây dựng công trình sự nghiệp; đất sử dụng vào mục đích quốc phòng, an ninh; đất tôn giáo; đất tín ngưỡng (đất có công trình là đình, đền, miếu, am, từ đường, nhà thờ họ); đất phi nông nghiệp khác (bao gồm đất xây dựng nhà bảo tàng, nhà bảo tồn, nhà trưng bày tác phẩm nghệ thuật, cơ sở sáng tác văn hóa nghệ thuật), thì căn cứ giá đất ở liền kề; nếu không có đất ở liền kề thì căn cứ vào giá đất ở khu vực gần nhất để xác định giá;</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Đối với đất sử dụng vào các mục đích công cộng theo quy định của Chính phủ; các loại đất phi nông nghiệp khác (bao gồm đất cho các công trình xây dựng khác của tư nhân không nhằm mục đích kinh doanh và không gắn liền với đất ở; đất làm nhà nghỉ, lán, trại cho người lao động; đất đô thị được sử dụng để xây dựng nhà phục vụ mục đích trồng trọt, kể cả các hình thức trồng trọt không trực tiếp trên đất; đất xây dựng chuồng trại chăn nuôi động vật được pháp luật cho phép; đất xây dựng trạm, trại nghiên cứu thí nghiệm nông nghiệp, lâm nghiệp, thủy sản; đất xây dựng nhà kho, nhà của hộ gia đình, cá nhân để chứa nông sản, thuốc bảo vệ thực vật, phân bón, máy móc, công cụ sản xuất nông nghiệp), thì căn cứ giá đất sản xuất, kinh doanh phi nông nghiệp liền kề; nếu không có đất sản xuất, kinh doanh phi nông nghiệp liền kề thì căn cứ vào giá đất sản xuất, kinh doanh phi nông nghiệp khu vực gần nhất để xác định giá;</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Đối với đất làm nghĩa trang, nghĩa địa, thì căn cứ giá loại đất liền kề để xác định giá; trường hợp liền kề với nhiều loại đất khác nhau, thì căn cứ vào giá của loại đất có mức giá thấp nhất để xác định giá;</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 Đối với 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khai thác thủy sản thì căn cứ vào giá đất phi nông nghiệp liền kề để xác định giá hoặc giá đất phi nông nghiệp khu vực gần nhất để xác định giá (nếu không có đất phi nông nghiệp liền kề).</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t>Điều 5.</w:t>
      </w:r>
      <w:proofErr w:type="gramEnd"/>
      <w:r w:rsidRPr="00B1389A">
        <w:rPr>
          <w:rFonts w:ascii="Times New Roman" w:eastAsia="Times New Roman" w:hAnsi="Times New Roman" w:cs="Times New Roman"/>
          <w:color w:val="222222"/>
          <w:sz w:val="28"/>
          <w:szCs w:val="28"/>
        </w:rPr>
        <w:t xml:space="preserve"> Giá nhóm đất chưa sử dụng</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r w:rsidRPr="00B1389A">
        <w:rPr>
          <w:rFonts w:ascii="Times New Roman" w:eastAsia="Times New Roman" w:hAnsi="Times New Roman" w:cs="Times New Roman"/>
          <w:color w:val="222222"/>
          <w:sz w:val="28"/>
          <w:szCs w:val="28"/>
        </w:rPr>
        <w:t>Đối với các loại đất chưa xác định mục đích sử dụng bao gồm đất bằng chưa sử dụng, đất đồi núi chưa sử dụng, núi đá không có rừng cây căn cứ vào giá các loại đất liền kề để xác định giá;</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color w:val="222222"/>
          <w:sz w:val="28"/>
          <w:szCs w:val="28"/>
        </w:rPr>
        <w:lastRenderedPageBreak/>
        <w:t>Đối với đất chưa sử dụng được cấp có thẩm quyền cho phép đưa vào sử dụng, căn cứ vào giá đất cùng loại, cùng mục đích sử dụng để xác định giá.</w:t>
      </w:r>
      <w:proofErr w:type="gramEnd"/>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Chương III</w:t>
      </w:r>
    </w:p>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b/>
          <w:color w:val="222222"/>
          <w:sz w:val="28"/>
          <w:szCs w:val="28"/>
        </w:rPr>
      </w:pPr>
      <w:r w:rsidRPr="00B1389A">
        <w:rPr>
          <w:rFonts w:ascii="Times New Roman" w:eastAsia="Times New Roman" w:hAnsi="Times New Roman" w:cs="Times New Roman"/>
          <w:b/>
          <w:color w:val="222222"/>
          <w:sz w:val="28"/>
          <w:szCs w:val="28"/>
        </w:rPr>
        <w:t>ĐIỀU KHOẢN THI HÀNH</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roofErr w:type="gramStart"/>
      <w:r w:rsidRPr="00B1389A">
        <w:rPr>
          <w:rFonts w:ascii="Times New Roman" w:eastAsia="Times New Roman" w:hAnsi="Times New Roman" w:cs="Times New Roman"/>
          <w:b/>
          <w:bCs/>
          <w:color w:val="222222"/>
          <w:sz w:val="28"/>
          <w:szCs w:val="28"/>
        </w:rPr>
        <w:t>Điều 6.</w:t>
      </w:r>
      <w:proofErr w:type="gramEnd"/>
      <w:r w:rsidRPr="00B1389A">
        <w:rPr>
          <w:rFonts w:ascii="Times New Roman" w:eastAsia="Times New Roman" w:hAnsi="Times New Roman" w:cs="Times New Roman"/>
          <w:color w:val="222222"/>
          <w:sz w:val="28"/>
          <w:szCs w:val="28"/>
        </w:rPr>
        <w:t> Giao Sở Tài nguyên và Môi trường chủ trì phối hợp với Sở Tài chính, Cục Thuế thành phố và các Sở - ngành có liên quan hướng dẫn thi hành Quy định này. Trong quá trình thực hiện nếu có vướng mắc phát sinh, giao Sở Tài nguyên và Môi trường chủ trì phối hợp với các Sở - ngành liên quan và Ủy ban nhân dân quận - huyện đề xuất ý kiến trình Ủy ban nhân dân thành phố quyết định việc sửa đổi, bổ sung cho phù hợp và kịp thời./.</w:t>
      </w:r>
    </w:p>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B1389A" w:rsidRPr="00B1389A" w:rsidTr="00B1389A">
        <w:trPr>
          <w:tblCellSpacing w:w="0" w:type="dxa"/>
        </w:trPr>
        <w:tc>
          <w:tcPr>
            <w:tcW w:w="3345" w:type="dxa"/>
            <w:vAlign w:val="center"/>
            <w:hideMark/>
          </w:tcPr>
          <w:p w:rsidR="00B1389A" w:rsidRPr="00B1389A" w:rsidRDefault="00B1389A" w:rsidP="00B1389A">
            <w:pPr>
              <w:spacing w:before="100" w:beforeAutospacing="1" w:after="100" w:afterAutospacing="1" w:line="240" w:lineRule="auto"/>
              <w:rPr>
                <w:rFonts w:ascii="Times New Roman" w:eastAsia="Times New Roman" w:hAnsi="Times New Roman" w:cs="Times New Roman"/>
                <w:color w:val="222222"/>
                <w:sz w:val="28"/>
                <w:szCs w:val="28"/>
              </w:rPr>
            </w:pPr>
          </w:p>
        </w:tc>
        <w:tc>
          <w:tcPr>
            <w:tcW w:w="5505" w:type="dxa"/>
            <w:vAlign w:val="center"/>
            <w:hideMark/>
          </w:tcPr>
          <w:p w:rsidR="00B1389A" w:rsidRPr="00B1389A" w:rsidRDefault="00B1389A" w:rsidP="00B1389A">
            <w:pPr>
              <w:spacing w:before="100" w:beforeAutospacing="1" w:after="100" w:afterAutospacing="1" w:line="240" w:lineRule="auto"/>
              <w:jc w:val="center"/>
              <w:rPr>
                <w:rFonts w:ascii="Times New Roman" w:eastAsia="Times New Roman" w:hAnsi="Times New Roman" w:cs="Times New Roman"/>
                <w:color w:val="222222"/>
                <w:sz w:val="28"/>
                <w:szCs w:val="28"/>
              </w:rPr>
            </w:pPr>
            <w:r w:rsidRPr="00B1389A">
              <w:rPr>
                <w:rFonts w:ascii="Times New Roman" w:eastAsia="Times New Roman" w:hAnsi="Times New Roman" w:cs="Times New Roman"/>
                <w:b/>
                <w:bCs/>
                <w:color w:val="222222"/>
                <w:sz w:val="28"/>
                <w:szCs w:val="28"/>
              </w:rPr>
              <w:t>TM. ỦY BAN NHÂN DÂN</w:t>
            </w:r>
            <w:r w:rsidRPr="00B1389A">
              <w:rPr>
                <w:rFonts w:ascii="Times New Roman" w:eastAsia="Times New Roman" w:hAnsi="Times New Roman" w:cs="Times New Roman"/>
                <w:b/>
                <w:bCs/>
                <w:color w:val="222222"/>
                <w:sz w:val="28"/>
                <w:szCs w:val="28"/>
              </w:rPr>
              <w:br/>
              <w:t>KT. CHỦ TỊCH</w:t>
            </w:r>
            <w:r w:rsidRPr="00B1389A">
              <w:rPr>
                <w:rFonts w:ascii="Times New Roman" w:eastAsia="Times New Roman" w:hAnsi="Times New Roman" w:cs="Times New Roman"/>
                <w:b/>
                <w:bCs/>
                <w:color w:val="222222"/>
                <w:sz w:val="28"/>
                <w:szCs w:val="28"/>
              </w:rPr>
              <w:br/>
              <w:t>PHÓ CHỦ TỊCH</w:t>
            </w:r>
            <w:r w:rsidRPr="00B1389A">
              <w:rPr>
                <w:rFonts w:ascii="Times New Roman" w:eastAsia="Times New Roman" w:hAnsi="Times New Roman" w:cs="Times New Roman"/>
                <w:b/>
                <w:bCs/>
                <w:color w:val="222222"/>
                <w:sz w:val="28"/>
                <w:szCs w:val="28"/>
              </w:rPr>
              <w:br/>
            </w:r>
            <w:r w:rsidRPr="00B1389A">
              <w:rPr>
                <w:rFonts w:ascii="Times New Roman" w:eastAsia="Times New Roman" w:hAnsi="Times New Roman" w:cs="Times New Roman"/>
                <w:b/>
                <w:bCs/>
                <w:color w:val="222222"/>
                <w:sz w:val="28"/>
                <w:szCs w:val="28"/>
              </w:rPr>
              <w:br/>
            </w:r>
            <w:r w:rsidRPr="00B1389A">
              <w:rPr>
                <w:rFonts w:ascii="Times New Roman" w:eastAsia="Times New Roman" w:hAnsi="Times New Roman" w:cs="Times New Roman"/>
                <w:b/>
                <w:bCs/>
                <w:color w:val="222222"/>
                <w:sz w:val="28"/>
                <w:szCs w:val="28"/>
              </w:rPr>
              <w:br/>
            </w:r>
            <w:r w:rsidRPr="00B1389A">
              <w:rPr>
                <w:rFonts w:ascii="Times New Roman" w:eastAsia="Times New Roman" w:hAnsi="Times New Roman" w:cs="Times New Roman"/>
                <w:b/>
                <w:bCs/>
                <w:color w:val="222222"/>
                <w:sz w:val="28"/>
                <w:szCs w:val="28"/>
              </w:rPr>
              <w:br/>
            </w:r>
            <w:r w:rsidRPr="00B1389A">
              <w:rPr>
                <w:rFonts w:ascii="Times New Roman" w:eastAsia="Times New Roman" w:hAnsi="Times New Roman" w:cs="Times New Roman"/>
                <w:b/>
                <w:bCs/>
                <w:color w:val="222222"/>
                <w:sz w:val="28"/>
                <w:szCs w:val="28"/>
              </w:rPr>
              <w:br/>
              <w:t>Nguyễn Hữu Tín</w:t>
            </w:r>
          </w:p>
        </w:tc>
      </w:tr>
      <w:bookmarkEnd w:id="0"/>
    </w:tbl>
    <w:p w:rsidR="00B55086" w:rsidRPr="00B1389A" w:rsidRDefault="00B55086" w:rsidP="00B1389A">
      <w:pPr>
        <w:rPr>
          <w:rFonts w:ascii="Times New Roman" w:hAnsi="Times New Roman" w:cs="Times New Roman"/>
          <w:sz w:val="28"/>
          <w:szCs w:val="28"/>
        </w:rPr>
      </w:pPr>
    </w:p>
    <w:sectPr w:rsidR="00B55086" w:rsidRPr="00B1389A" w:rsidSect="00200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78" w:rsidRDefault="00DE2C78" w:rsidP="00204117">
      <w:pPr>
        <w:spacing w:after="0" w:line="240" w:lineRule="auto"/>
      </w:pPr>
      <w:r>
        <w:separator/>
      </w:r>
    </w:p>
  </w:endnote>
  <w:endnote w:type="continuationSeparator" w:id="0">
    <w:p w:rsidR="00DE2C78" w:rsidRDefault="00DE2C78"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C78" w:rsidRDefault="00DE2C78" w:rsidP="00204117">
      <w:pPr>
        <w:spacing w:after="0" w:line="240" w:lineRule="auto"/>
      </w:pPr>
      <w:r>
        <w:separator/>
      </w:r>
    </w:p>
  </w:footnote>
  <w:footnote w:type="continuationSeparator" w:id="0">
    <w:p w:rsidR="00DE2C78" w:rsidRDefault="00DE2C78" w:rsidP="0020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17" w:rsidRDefault="0020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0"/>
    <w:lvlOverride w:ilvl="0">
      <w:startOverride w:val="3"/>
    </w:lvlOverride>
  </w:num>
  <w:num w:numId="8">
    <w:abstractNumId w:val="10"/>
    <w:lvlOverride w:ilvl="0">
      <w:startOverride w:val="4"/>
    </w:lvlOverride>
  </w:num>
  <w:num w:numId="9">
    <w:abstractNumId w:val="11"/>
    <w:lvlOverride w:ilvl="0">
      <w:startOverride w:val="5"/>
    </w:lvlOverride>
  </w:num>
  <w:num w:numId="10">
    <w:abstractNumId w:val="11"/>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B5140"/>
    <w:rsid w:val="000B52BD"/>
    <w:rsid w:val="001D5379"/>
    <w:rsid w:val="00200A3C"/>
    <w:rsid w:val="00204117"/>
    <w:rsid w:val="00247697"/>
    <w:rsid w:val="002B16A4"/>
    <w:rsid w:val="002E1240"/>
    <w:rsid w:val="00334BE8"/>
    <w:rsid w:val="00367EA2"/>
    <w:rsid w:val="0038399E"/>
    <w:rsid w:val="003A098A"/>
    <w:rsid w:val="003A0AC5"/>
    <w:rsid w:val="003B39B3"/>
    <w:rsid w:val="003C36EC"/>
    <w:rsid w:val="004928EA"/>
    <w:rsid w:val="00573EDF"/>
    <w:rsid w:val="005B37C9"/>
    <w:rsid w:val="005C4A5D"/>
    <w:rsid w:val="005F566E"/>
    <w:rsid w:val="006633CA"/>
    <w:rsid w:val="006E65B8"/>
    <w:rsid w:val="00704A1B"/>
    <w:rsid w:val="00710CD6"/>
    <w:rsid w:val="0075007E"/>
    <w:rsid w:val="0077688F"/>
    <w:rsid w:val="00781795"/>
    <w:rsid w:val="00865545"/>
    <w:rsid w:val="00876D40"/>
    <w:rsid w:val="008B42E7"/>
    <w:rsid w:val="008E7A1F"/>
    <w:rsid w:val="0095357C"/>
    <w:rsid w:val="00A226AB"/>
    <w:rsid w:val="00A55578"/>
    <w:rsid w:val="00AC3160"/>
    <w:rsid w:val="00AE65FD"/>
    <w:rsid w:val="00B06342"/>
    <w:rsid w:val="00B1389A"/>
    <w:rsid w:val="00B50CC8"/>
    <w:rsid w:val="00B55086"/>
    <w:rsid w:val="00BA033D"/>
    <w:rsid w:val="00BE09DA"/>
    <w:rsid w:val="00C567E9"/>
    <w:rsid w:val="00C93DFC"/>
    <w:rsid w:val="00CB1BAC"/>
    <w:rsid w:val="00CF15A0"/>
    <w:rsid w:val="00DE2C78"/>
    <w:rsid w:val="00E16303"/>
    <w:rsid w:val="00EA1CB3"/>
    <w:rsid w:val="00EC4EAD"/>
    <w:rsid w:val="00EE5798"/>
    <w:rsid w:val="00F02265"/>
    <w:rsid w:val="00FA57AE"/>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C9739-DAD2-4528-8373-E8FFA4440A2A}"/>
</file>

<file path=customXml/itemProps2.xml><?xml version="1.0" encoding="utf-8"?>
<ds:datastoreItem xmlns:ds="http://schemas.openxmlformats.org/officeDocument/2006/customXml" ds:itemID="{5A4ED013-FC1E-4963-A740-5082193FD93E}"/>
</file>

<file path=customXml/itemProps3.xml><?xml version="1.0" encoding="utf-8"?>
<ds:datastoreItem xmlns:ds="http://schemas.openxmlformats.org/officeDocument/2006/customXml" ds:itemID="{351C5C97-D139-4F4E-B024-D25E94108547}"/>
</file>

<file path=docProps/app.xml><?xml version="1.0" encoding="utf-8"?>
<Properties xmlns="http://schemas.openxmlformats.org/officeDocument/2006/extended-properties" xmlns:vt="http://schemas.openxmlformats.org/officeDocument/2006/docPropsVTypes">
  <Template>Normal</Template>
  <TotalTime>447</TotalTime>
  <Pages>7</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42</cp:revision>
  <dcterms:created xsi:type="dcterms:W3CDTF">2015-12-29T07:09:00Z</dcterms:created>
  <dcterms:modified xsi:type="dcterms:W3CDTF">2016-01-06T02:27:00Z</dcterms:modified>
</cp:coreProperties>
</file>